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Times New Roman" w:eastAsia="方正小标宋_GBK"/>
          <w:bCs/>
          <w:sz w:val="40"/>
          <w:szCs w:val="40"/>
        </w:rPr>
      </w:pPr>
      <w:r>
        <w:rPr>
          <w:rFonts w:hint="eastAsia" w:ascii="方正小标宋_GBK" w:hAnsi="Times New Roman" w:eastAsia="方正小标宋_GBK"/>
          <w:bCs/>
          <w:sz w:val="40"/>
          <w:szCs w:val="40"/>
        </w:rPr>
        <w:t>盐城城乡融合发展研究院2021年度课题指南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1、盐城面朝大海、向海发展战略深化研究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、打造世界级生态会客厅，深度参与国际生态治理对话，推动构建黄海生态经济圈研究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3、盐城建设国家级城乡融合发展试验区路径研究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、优化盐城城镇体系、优化城市发展空间格局，提升中心城市发展能级和综合竞争力研究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、盐城全面融入双循环、服务双循环研究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、实现盐城农业农村现代化路径研究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、盐城应对碳达峰、碳中和的策略和生态产品价值实现机制研究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、加快发展现代农业，争创农业现代化示范区，促进一二三产融合发展研究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、文旅融合、农旅融合发展研究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、生态康养产业全市域发展研究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11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、建设农业地景研究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、发展湿地生态旅游、全域旅游、旅游园区建设研究</w:t>
      </w: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楷体_GBK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topLinePunct/>
        <w:spacing w:line="570" w:lineRule="exact"/>
        <w:ind w:firstLine="640" w:firstLineChars="200"/>
        <w:rPr>
          <w:rFonts w:ascii="Times New Roman" w:hAnsi="Times New Roman" w:eastAsia="方正楷体_GBK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0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2021-05-23T07:42:16Z</dcterms:created>
  <dc:creator>ZL</dc:creator>
  <cp:lastModifiedBy>御景许你晚风凉</cp:lastModifiedBy>
  <dcterms:modified xsi:type="dcterms:W3CDTF">2021-05-23T07:42:44Z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